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5DDE" w14:textId="14E40B4C" w:rsidR="00EB5647" w:rsidRPr="00877123" w:rsidRDefault="00EB5647" w:rsidP="00EB5647">
      <w:pPr>
        <w:rPr>
          <w:rFonts w:ascii="Arial" w:hAnsi="Arial" w:cs="Arial"/>
          <w:b/>
          <w:bCs/>
          <w:sz w:val="28"/>
          <w:szCs w:val="28"/>
        </w:rPr>
      </w:pPr>
      <w:r w:rsidRPr="00877123">
        <w:rPr>
          <w:rFonts w:ascii="Arial" w:hAnsi="Arial" w:cs="Arial"/>
          <w:b/>
          <w:bCs/>
          <w:sz w:val="26"/>
          <w:szCs w:val="26"/>
        </w:rPr>
        <w:t>Abstract: Python-Based Fitting Application for Luminescence Assay Data</w:t>
      </w:r>
      <w:r w:rsidRPr="00877123">
        <w:rPr>
          <w:rFonts w:ascii="Arial" w:hAnsi="Arial" w:cs="Arial"/>
          <w:b/>
          <w:bCs/>
          <w:sz w:val="28"/>
          <w:szCs w:val="28"/>
        </w:rPr>
        <w:br/>
      </w:r>
      <w:r w:rsidRPr="00EB5647">
        <w:rPr>
          <w:rFonts w:ascii="Arial" w:hAnsi="Arial" w:cs="Arial"/>
          <w:sz w:val="22"/>
          <w:szCs w:val="22"/>
        </w:rPr>
        <w:t>Ahmad Omira</w:t>
      </w:r>
      <w:r w:rsidRPr="00EB5647">
        <w:rPr>
          <w:rFonts w:ascii="Arial" w:hAnsi="Arial" w:cs="Arial"/>
          <w:sz w:val="22"/>
          <w:szCs w:val="22"/>
          <w:vertAlign w:val="superscript"/>
        </w:rPr>
        <w:t>1</w:t>
      </w:r>
      <w:r w:rsidRPr="00EB5647">
        <w:rPr>
          <w:rFonts w:ascii="Arial" w:hAnsi="Arial" w:cs="Arial"/>
          <w:sz w:val="22"/>
          <w:szCs w:val="22"/>
        </w:rPr>
        <w:t>, Thomas Jochmann</w:t>
      </w:r>
      <w:r w:rsidRPr="00EB5647">
        <w:rPr>
          <w:rFonts w:ascii="Arial" w:hAnsi="Arial" w:cs="Arial"/>
          <w:sz w:val="22"/>
          <w:szCs w:val="22"/>
          <w:vertAlign w:val="superscript"/>
        </w:rPr>
        <w:t>2</w:t>
      </w:r>
      <w:r w:rsidRPr="00EB5647">
        <w:rPr>
          <w:rFonts w:ascii="Arial" w:hAnsi="Arial" w:cs="Arial"/>
          <w:sz w:val="22"/>
          <w:szCs w:val="22"/>
        </w:rPr>
        <w:t>, Frank Biedermann</w:t>
      </w:r>
      <w:r w:rsidRPr="00EB5647">
        <w:rPr>
          <w:rFonts w:ascii="Arial" w:hAnsi="Arial" w:cs="Arial"/>
          <w:sz w:val="22"/>
          <w:szCs w:val="22"/>
          <w:vertAlign w:val="superscript"/>
        </w:rPr>
        <w:t>1</w:t>
      </w:r>
    </w:p>
    <w:p w14:paraId="21996BB8" w14:textId="3557A7CA" w:rsidR="00EB5647" w:rsidRPr="00877123" w:rsidRDefault="00EB5647" w:rsidP="001A3558">
      <w:pPr>
        <w:spacing w:line="240" w:lineRule="auto"/>
        <w:rPr>
          <w:rFonts w:ascii="Arial" w:hAnsi="Arial" w:cs="Arial"/>
          <w:sz w:val="16"/>
          <w:szCs w:val="16"/>
        </w:rPr>
      </w:pPr>
      <w:r w:rsidRPr="00EB5647">
        <w:rPr>
          <w:rFonts w:ascii="Arial" w:hAnsi="Arial" w:cs="Arial"/>
          <w:sz w:val="16"/>
          <w:szCs w:val="16"/>
          <w:vertAlign w:val="superscript"/>
        </w:rPr>
        <w:t xml:space="preserve">1 </w:t>
      </w:r>
      <w:r w:rsidRPr="00EB5647">
        <w:rPr>
          <w:rFonts w:ascii="Arial" w:hAnsi="Arial" w:cs="Arial"/>
          <w:sz w:val="16"/>
          <w:szCs w:val="16"/>
        </w:rPr>
        <w:t xml:space="preserve">Institute of Nanotechnology (INT), Karlsruhe Institute of Technology (KIT) </w:t>
      </w:r>
      <w:r w:rsidRPr="00877123">
        <w:rPr>
          <w:rFonts w:ascii="Arial" w:hAnsi="Arial" w:cs="Arial"/>
          <w:sz w:val="16"/>
          <w:szCs w:val="16"/>
        </w:rPr>
        <w:br/>
      </w:r>
      <w:r w:rsidRPr="00EB5647">
        <w:rPr>
          <w:rFonts w:ascii="Arial" w:hAnsi="Arial" w:cs="Arial"/>
          <w:sz w:val="16"/>
          <w:szCs w:val="16"/>
          <w:vertAlign w:val="superscript"/>
        </w:rPr>
        <w:t xml:space="preserve">2 </w:t>
      </w:r>
      <w:r w:rsidRPr="00EB5647">
        <w:rPr>
          <w:rFonts w:ascii="Arial" w:hAnsi="Arial" w:cs="Arial"/>
          <w:sz w:val="16"/>
          <w:szCs w:val="16"/>
        </w:rPr>
        <w:t>Institute of Biomedical Engineering and Informatics (BMTI), Ilmenau University of Technology (TUI)</w:t>
      </w:r>
    </w:p>
    <w:p w14:paraId="34E860C1" w14:textId="77777777" w:rsidR="001A3558" w:rsidRPr="00877123" w:rsidRDefault="001A3558" w:rsidP="001A3558">
      <w:pPr>
        <w:spacing w:line="240" w:lineRule="auto"/>
        <w:rPr>
          <w:rFonts w:ascii="Arial" w:hAnsi="Arial" w:cs="Arial"/>
          <w:sz w:val="16"/>
          <w:szCs w:val="16"/>
        </w:rPr>
      </w:pPr>
    </w:p>
    <w:p w14:paraId="43B37FA0" w14:textId="7FCF9BBB" w:rsidR="00EB5647" w:rsidRPr="00877123" w:rsidRDefault="00EB5647" w:rsidP="00EB5647">
      <w:pPr>
        <w:spacing w:line="240" w:lineRule="auto"/>
        <w:rPr>
          <w:rFonts w:ascii="Arial" w:hAnsi="Arial" w:cs="Arial"/>
          <w:sz w:val="16"/>
          <w:szCs w:val="16"/>
        </w:rPr>
      </w:pPr>
      <w:r w:rsidRPr="00877123">
        <w:rPr>
          <w:rFonts w:ascii="Arial" w:hAnsi="Arial" w:cs="Arial"/>
          <w:noProof/>
        </w:rPr>
        <w:drawing>
          <wp:inline distT="0" distB="0" distL="0" distR="0" wp14:anchorId="5A966086" wp14:editId="061A2060">
            <wp:extent cx="5943600" cy="1901190"/>
            <wp:effectExtent l="0" t="0" r="0" b="3810"/>
            <wp:docPr id="67863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34826" name=""/>
                    <pic:cNvPicPr/>
                  </pic:nvPicPr>
                  <pic:blipFill>
                    <a:blip r:embed="rId5"/>
                    <a:stretch>
                      <a:fillRect/>
                    </a:stretch>
                  </pic:blipFill>
                  <pic:spPr>
                    <a:xfrm>
                      <a:off x="0" y="0"/>
                      <a:ext cx="5989074" cy="1915736"/>
                    </a:xfrm>
                    <a:prstGeom prst="rect">
                      <a:avLst/>
                    </a:prstGeom>
                  </pic:spPr>
                </pic:pic>
              </a:graphicData>
            </a:graphic>
          </wp:inline>
        </w:drawing>
      </w:r>
    </w:p>
    <w:p w14:paraId="2FA13AFB" w14:textId="65B39493" w:rsidR="001A3558" w:rsidRPr="00877123" w:rsidRDefault="00EB5647" w:rsidP="001A3558">
      <w:pPr>
        <w:rPr>
          <w:rFonts w:ascii="Arial" w:hAnsi="Arial" w:cs="Arial"/>
          <w:color w:val="747474" w:themeColor="background2" w:themeShade="80"/>
          <w:sz w:val="16"/>
          <w:szCs w:val="16"/>
        </w:rPr>
      </w:pPr>
      <w:r w:rsidRPr="00EB5647">
        <w:rPr>
          <w:rFonts w:ascii="Arial" w:hAnsi="Arial" w:cs="Arial"/>
          <w:b/>
          <w:bCs/>
          <w:i/>
          <w:iCs/>
          <w:color w:val="747474" w:themeColor="background2" w:themeShade="80"/>
          <w:sz w:val="16"/>
          <w:szCs w:val="16"/>
        </w:rPr>
        <w:t xml:space="preserve">Figure: </w:t>
      </w:r>
      <w:r w:rsidRPr="00EB5647">
        <w:rPr>
          <w:rFonts w:ascii="Arial" w:hAnsi="Arial" w:cs="Arial"/>
          <w:color w:val="747474" w:themeColor="background2" w:themeShade="80"/>
          <w:sz w:val="16"/>
          <w:szCs w:val="16"/>
        </w:rPr>
        <w:t>Schematic of our experimental workflow. Fluorescence titration curves from IDA are preprocessed and compared to a synthetic reference database to estimate initial parameter bounds. A robust curve fitting process follows, producing chemically plausible estimations of binding affinities. The workflow outputs validated fit diagnostics and visual summaries for downstream analysis.</w:t>
      </w:r>
    </w:p>
    <w:p w14:paraId="4A7EBC09" w14:textId="77777777" w:rsidR="001A3558" w:rsidRPr="00877123" w:rsidRDefault="001A3558" w:rsidP="001A3558">
      <w:pPr>
        <w:rPr>
          <w:rFonts w:ascii="Arial" w:hAnsi="Arial" w:cs="Arial"/>
          <w:color w:val="747474" w:themeColor="background2" w:themeShade="80"/>
          <w:sz w:val="16"/>
          <w:szCs w:val="16"/>
        </w:rPr>
      </w:pPr>
    </w:p>
    <w:p w14:paraId="292AD92E" w14:textId="2D516F28" w:rsidR="001A3558" w:rsidRPr="00877123" w:rsidRDefault="001A3558" w:rsidP="00B754E3">
      <w:pPr>
        <w:autoSpaceDE w:val="0"/>
        <w:autoSpaceDN w:val="0"/>
        <w:adjustRightInd w:val="0"/>
        <w:spacing w:after="0" w:line="240" w:lineRule="auto"/>
        <w:jc w:val="both"/>
        <w:rPr>
          <w:rFonts w:ascii="Arial" w:hAnsi="Arial" w:cs="Arial"/>
          <w:kern w:val="0"/>
          <w:sz w:val="22"/>
          <w:szCs w:val="22"/>
        </w:rPr>
      </w:pPr>
      <w:r w:rsidRPr="00877123">
        <w:rPr>
          <w:rFonts w:ascii="Arial" w:hAnsi="Arial" w:cs="Arial"/>
          <w:kern w:val="0"/>
          <w:sz w:val="22"/>
          <w:szCs w:val="22"/>
        </w:rPr>
        <w:t>Accurate determination of molecular binding affinities is essential across drug discovery, environmental monitoring, and materials science, yet current analysis methods often struggle with numerical complexity and computational costs. To address these challenges in the experimental domain, we developed the Binding Assay Fitting Toolkit – an open-source Python-based software application designed to enable robust and accurate extraction of binding constants from spectroscopic assay data. Built for analyzing Guest Displacement Assays (GDA), Indicator Displacement Assays (IDA), and Direct Binding Assays (DBA), the toolkit addresses a fundamental challenge in supramolecular chemistry and biochemistry: the ill-posed nature of inverse fitting problems in competitive binding equilibria.</w:t>
      </w:r>
    </w:p>
    <w:p w14:paraId="52F4B194" w14:textId="77777777" w:rsidR="001A3558" w:rsidRPr="00877123" w:rsidRDefault="001A3558" w:rsidP="00B754E3">
      <w:pPr>
        <w:autoSpaceDE w:val="0"/>
        <w:autoSpaceDN w:val="0"/>
        <w:adjustRightInd w:val="0"/>
        <w:spacing w:after="0" w:line="240" w:lineRule="auto"/>
        <w:jc w:val="both"/>
        <w:rPr>
          <w:rFonts w:ascii="Arial" w:hAnsi="Arial" w:cs="Arial"/>
          <w:kern w:val="0"/>
          <w:sz w:val="22"/>
          <w:szCs w:val="22"/>
        </w:rPr>
      </w:pPr>
    </w:p>
    <w:p w14:paraId="6BDA7E1E" w14:textId="6DBC8B9B" w:rsidR="001A3558" w:rsidRPr="00877123" w:rsidRDefault="001A3558" w:rsidP="00B754E3">
      <w:pPr>
        <w:autoSpaceDE w:val="0"/>
        <w:autoSpaceDN w:val="0"/>
        <w:adjustRightInd w:val="0"/>
        <w:spacing w:after="0" w:line="240" w:lineRule="auto"/>
        <w:jc w:val="both"/>
        <w:rPr>
          <w:rFonts w:ascii="Arial" w:hAnsi="Arial" w:cs="Arial"/>
          <w:kern w:val="0"/>
          <w:sz w:val="22"/>
          <w:szCs w:val="22"/>
        </w:rPr>
      </w:pPr>
      <w:r w:rsidRPr="00877123">
        <w:rPr>
          <w:rFonts w:ascii="Arial" w:hAnsi="Arial" w:cs="Arial"/>
          <w:kern w:val="0"/>
          <w:sz w:val="22"/>
          <w:szCs w:val="22"/>
        </w:rPr>
        <w:t>Unlike traditional methods that rely on data transformation (Scatchard plots, Hill plots), the toolkit employs forward modeling – fitting theoretical binding curves directly to raw experimental data. This preserves native error structures, enforces thermodynamically meaningful parameter bounds, and naturally accommodates complex competitive binding scenarios. The application features advanced numerical optimization with multi-start global search strategies, ensemble-based uncertainty quantification, and comprehensive quality control metrics to ensure reliable parameter estimation.</w:t>
      </w:r>
    </w:p>
    <w:p w14:paraId="01BF0F78" w14:textId="77777777" w:rsidR="001A3558" w:rsidRPr="00877123" w:rsidRDefault="001A3558" w:rsidP="00B754E3">
      <w:pPr>
        <w:autoSpaceDE w:val="0"/>
        <w:autoSpaceDN w:val="0"/>
        <w:adjustRightInd w:val="0"/>
        <w:spacing w:after="0" w:line="240" w:lineRule="auto"/>
        <w:jc w:val="both"/>
        <w:rPr>
          <w:rFonts w:ascii="Arial" w:hAnsi="Arial" w:cs="Arial"/>
          <w:kern w:val="0"/>
          <w:sz w:val="22"/>
          <w:szCs w:val="22"/>
        </w:rPr>
      </w:pPr>
    </w:p>
    <w:p w14:paraId="38253EE2" w14:textId="77777777" w:rsidR="001A3558" w:rsidRPr="00877123" w:rsidRDefault="001A3558" w:rsidP="00B754E3">
      <w:pPr>
        <w:autoSpaceDE w:val="0"/>
        <w:autoSpaceDN w:val="0"/>
        <w:adjustRightInd w:val="0"/>
        <w:spacing w:after="0" w:line="240" w:lineRule="auto"/>
        <w:jc w:val="both"/>
        <w:rPr>
          <w:rFonts w:ascii="Arial" w:hAnsi="Arial" w:cs="Arial"/>
          <w:kern w:val="0"/>
          <w:sz w:val="22"/>
          <w:szCs w:val="22"/>
        </w:rPr>
      </w:pPr>
      <w:r w:rsidRPr="00877123">
        <w:rPr>
          <w:rFonts w:ascii="Arial" w:hAnsi="Arial" w:cs="Arial"/>
          <w:kern w:val="0"/>
          <w:sz w:val="22"/>
          <w:szCs w:val="22"/>
        </w:rPr>
        <w:t>A key innovation is the integration of similarity-based priors from synthetic IDA databases, which narrow initial parameter intervals and resolve the ambiguity inherent in fitting coupled equilibria. This data-driven workflow significantly enhances both the speed and robustness of optimization, processing entire datasets within minutes while generating publication-ready visualizations and statistical summaries. The toolkit's intuitive graphical interface, batch processing capabilities, and support for standard laboratory file formats make it accessible to researchers without requiring programming expertise, standardizing analysis workflows and minimizing user bias in binding affinity measurements.</w:t>
      </w:r>
    </w:p>
    <w:p w14:paraId="07EA32DB" w14:textId="77777777" w:rsidR="001A3558" w:rsidRPr="00877123" w:rsidRDefault="001A3558" w:rsidP="001A3558">
      <w:pPr>
        <w:autoSpaceDE w:val="0"/>
        <w:autoSpaceDN w:val="0"/>
        <w:adjustRightInd w:val="0"/>
        <w:spacing w:after="0" w:line="240" w:lineRule="auto"/>
        <w:rPr>
          <w:rFonts w:ascii="Arial" w:hAnsi="Arial" w:cs="Arial"/>
          <w:kern w:val="0"/>
          <w:sz w:val="26"/>
          <w:szCs w:val="26"/>
        </w:rPr>
      </w:pPr>
    </w:p>
    <w:p w14:paraId="07C7C944" w14:textId="433F6564" w:rsidR="00877123" w:rsidRPr="00877123" w:rsidRDefault="00877123" w:rsidP="00877123">
      <w:pPr>
        <w:rPr>
          <w:rFonts w:ascii="Arial" w:hAnsi="Arial" w:cs="Arial"/>
          <w:sz w:val="22"/>
          <w:szCs w:val="22"/>
          <w:lang w:val="de-DE"/>
        </w:rPr>
      </w:pPr>
      <w:r w:rsidRPr="00877123">
        <w:rPr>
          <w:rFonts w:ascii="Arial" w:hAnsi="Arial" w:cs="Arial"/>
          <w:b/>
          <w:bCs/>
          <w:sz w:val="22"/>
          <w:szCs w:val="22"/>
          <w:lang w:val="de-DE"/>
        </w:rPr>
        <w:t>References</w:t>
      </w:r>
    </w:p>
    <w:p w14:paraId="6B4D40C1" w14:textId="07DDC48D" w:rsidR="00877123" w:rsidRPr="00877123" w:rsidRDefault="00877123" w:rsidP="00877123">
      <w:pPr>
        <w:pStyle w:val="Prrafodelista"/>
        <w:numPr>
          <w:ilvl w:val="0"/>
          <w:numId w:val="2"/>
        </w:numPr>
        <w:spacing w:after="0"/>
        <w:rPr>
          <w:rFonts w:ascii="Arial" w:hAnsi="Arial" w:cs="Arial"/>
          <w:sz w:val="22"/>
          <w:szCs w:val="22"/>
        </w:rPr>
      </w:pPr>
      <w:r w:rsidRPr="00877123">
        <w:rPr>
          <w:rFonts w:ascii="Arial" w:hAnsi="Arial" w:cs="Arial"/>
          <w:sz w:val="22"/>
          <w:szCs w:val="22"/>
        </w:rPr>
        <w:t>R. P. Brent, “An algorithm with guaranteed convergence for finding a zero of a function”, The Computer Journal 1971, doi.org/10.1093/</w:t>
      </w:r>
      <w:proofErr w:type="spellStart"/>
      <w:r w:rsidRPr="00877123">
        <w:rPr>
          <w:rFonts w:ascii="Arial" w:hAnsi="Arial" w:cs="Arial"/>
          <w:sz w:val="22"/>
          <w:szCs w:val="22"/>
        </w:rPr>
        <w:t>comjnl</w:t>
      </w:r>
      <w:proofErr w:type="spellEnd"/>
      <w:r w:rsidRPr="00877123">
        <w:rPr>
          <w:rFonts w:ascii="Arial" w:hAnsi="Arial" w:cs="Arial"/>
          <w:sz w:val="22"/>
          <w:szCs w:val="22"/>
        </w:rPr>
        <w:t>/14.4.422</w:t>
      </w:r>
    </w:p>
    <w:p w14:paraId="51A8C496" w14:textId="55BF48B8" w:rsidR="00877123" w:rsidRPr="00877123" w:rsidRDefault="00877123" w:rsidP="00877123">
      <w:pPr>
        <w:pStyle w:val="Prrafodelista"/>
        <w:numPr>
          <w:ilvl w:val="0"/>
          <w:numId w:val="2"/>
        </w:numPr>
        <w:spacing w:after="0"/>
        <w:rPr>
          <w:rFonts w:ascii="Arial" w:hAnsi="Arial" w:cs="Arial"/>
          <w:sz w:val="22"/>
          <w:szCs w:val="22"/>
        </w:rPr>
      </w:pPr>
      <w:r w:rsidRPr="00877123">
        <w:rPr>
          <w:rFonts w:ascii="Arial" w:hAnsi="Arial" w:cs="Arial"/>
          <w:sz w:val="22"/>
          <w:szCs w:val="22"/>
        </w:rPr>
        <w:t>B. T. Nguyen et al., “Indicator–displacement assays,” Coordination Chemistry Reviews 2006, 10.1016/j.ccr.2006.04.009.</w:t>
      </w:r>
    </w:p>
    <w:p w14:paraId="6CB781C6" w14:textId="5AF60384" w:rsidR="00877123" w:rsidRPr="00877123" w:rsidRDefault="00877123" w:rsidP="00877123">
      <w:pPr>
        <w:pStyle w:val="Prrafodelista"/>
        <w:numPr>
          <w:ilvl w:val="0"/>
          <w:numId w:val="2"/>
        </w:numPr>
        <w:spacing w:after="0"/>
        <w:rPr>
          <w:rFonts w:ascii="Arial" w:hAnsi="Arial" w:cs="Arial"/>
          <w:sz w:val="22"/>
          <w:szCs w:val="22"/>
        </w:rPr>
      </w:pPr>
      <w:r w:rsidRPr="00877123">
        <w:rPr>
          <w:rFonts w:ascii="Arial" w:hAnsi="Arial" w:cs="Arial"/>
          <w:sz w:val="22"/>
          <w:szCs w:val="22"/>
          <w:lang w:val="de-DE"/>
        </w:rPr>
        <w:t xml:space="preserve">Sinn, S., Spuling, E., Bräse, S., &amp; Biedermann, F. (2019). </w:t>
      </w:r>
      <w:r w:rsidRPr="00877123">
        <w:rPr>
          <w:rFonts w:ascii="Arial" w:hAnsi="Arial" w:cs="Arial"/>
          <w:sz w:val="22"/>
          <w:szCs w:val="22"/>
        </w:rPr>
        <w:t xml:space="preserve">Rational design and implementation of a </w:t>
      </w:r>
      <w:proofErr w:type="gramStart"/>
      <w:r w:rsidRPr="00877123">
        <w:rPr>
          <w:rFonts w:ascii="Arial" w:hAnsi="Arial" w:cs="Arial"/>
          <w:sz w:val="22"/>
          <w:szCs w:val="22"/>
        </w:rPr>
        <w:t>cucurbit[</w:t>
      </w:r>
      <w:proofErr w:type="gramEnd"/>
      <w:r w:rsidRPr="00877123">
        <w:rPr>
          <w:rFonts w:ascii="Arial" w:hAnsi="Arial" w:cs="Arial"/>
          <w:sz w:val="22"/>
          <w:szCs w:val="22"/>
        </w:rPr>
        <w:t>8]</w:t>
      </w:r>
      <w:proofErr w:type="spellStart"/>
      <w:r w:rsidRPr="00877123">
        <w:rPr>
          <w:rFonts w:ascii="Arial" w:hAnsi="Arial" w:cs="Arial"/>
          <w:sz w:val="22"/>
          <w:szCs w:val="22"/>
        </w:rPr>
        <w:t>uril</w:t>
      </w:r>
      <w:proofErr w:type="spellEnd"/>
      <w:r w:rsidRPr="00877123">
        <w:rPr>
          <w:rFonts w:ascii="Arial" w:hAnsi="Arial" w:cs="Arial"/>
          <w:sz w:val="22"/>
          <w:szCs w:val="22"/>
        </w:rPr>
        <w:t xml:space="preserve">-based indicator-displacement assay for application in blood serum. </w:t>
      </w:r>
      <w:r w:rsidRPr="00877123">
        <w:rPr>
          <w:rFonts w:ascii="Arial" w:hAnsi="Arial" w:cs="Arial"/>
          <w:i/>
          <w:iCs/>
          <w:sz w:val="22"/>
          <w:szCs w:val="22"/>
        </w:rPr>
        <w:t>*Chemical Science*</w:t>
      </w:r>
      <w:r w:rsidRPr="00877123">
        <w:rPr>
          <w:rFonts w:ascii="Arial" w:hAnsi="Arial" w:cs="Arial"/>
          <w:sz w:val="22"/>
          <w:szCs w:val="22"/>
        </w:rPr>
        <w:t>, 10(28), 6584-6593. doi.org/10.1039/C9SC00705A</w:t>
      </w:r>
    </w:p>
    <w:p w14:paraId="56FA7E57" w14:textId="2AF1B62C" w:rsidR="00877123" w:rsidRDefault="00877123" w:rsidP="00877123">
      <w:pPr>
        <w:pStyle w:val="Prrafodelista"/>
        <w:numPr>
          <w:ilvl w:val="0"/>
          <w:numId w:val="2"/>
        </w:numPr>
        <w:spacing w:after="0"/>
        <w:rPr>
          <w:rFonts w:ascii="Arial" w:hAnsi="Arial" w:cs="Arial"/>
          <w:sz w:val="22"/>
          <w:szCs w:val="22"/>
        </w:rPr>
      </w:pPr>
      <w:r w:rsidRPr="00877123">
        <w:rPr>
          <w:rFonts w:ascii="Arial" w:hAnsi="Arial" w:cs="Arial"/>
          <w:sz w:val="22"/>
          <w:szCs w:val="22"/>
          <w:lang w:val="de-DE"/>
        </w:rPr>
        <w:t xml:space="preserve">Sinn, S., Krämer, J., &amp; Biedermann, F. (2020). </w:t>
      </w:r>
      <w:r w:rsidRPr="00877123">
        <w:rPr>
          <w:rFonts w:ascii="Arial" w:hAnsi="Arial" w:cs="Arial"/>
          <w:sz w:val="22"/>
          <w:szCs w:val="22"/>
        </w:rPr>
        <w:t xml:space="preserve">Teaching old indicators even more tricks: binding affinity measurements with the guest-displacement assay (GDA). </w:t>
      </w:r>
      <w:r w:rsidRPr="00877123">
        <w:rPr>
          <w:rFonts w:ascii="Arial" w:hAnsi="Arial" w:cs="Arial"/>
          <w:i/>
          <w:iCs/>
          <w:sz w:val="22"/>
          <w:szCs w:val="22"/>
        </w:rPr>
        <w:t>*Chemical Communications*</w:t>
      </w:r>
      <w:r w:rsidRPr="00877123">
        <w:rPr>
          <w:rFonts w:ascii="Arial" w:hAnsi="Arial" w:cs="Arial"/>
          <w:sz w:val="22"/>
          <w:szCs w:val="22"/>
        </w:rPr>
        <w:t>, 56(49), 6620-6623. doi.org/10.1039/D0CC01841D</w:t>
      </w:r>
    </w:p>
    <w:p w14:paraId="6A463060" w14:textId="389AE408" w:rsidR="001A3558" w:rsidRPr="00877123" w:rsidRDefault="001A3558" w:rsidP="001A3558">
      <w:pPr>
        <w:rPr>
          <w:rFonts w:ascii="Arial" w:hAnsi="Arial" w:cs="Arial"/>
        </w:rPr>
      </w:pPr>
    </w:p>
    <w:sectPr w:rsidR="001A3558" w:rsidRPr="00877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70E"/>
    <w:multiLevelType w:val="hybridMultilevel"/>
    <w:tmpl w:val="203C258E"/>
    <w:lvl w:ilvl="0" w:tplc="FEAEDC6A">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36AF2"/>
    <w:multiLevelType w:val="hybridMultilevel"/>
    <w:tmpl w:val="6A8C0070"/>
    <w:lvl w:ilvl="0" w:tplc="FEAEDC6A">
      <w:start w:val="1"/>
      <w:numFmt w:val="decimal"/>
      <w:lvlText w:val="%1."/>
      <w:lvlJc w:val="left"/>
      <w:pPr>
        <w:ind w:left="720" w:hanging="360"/>
      </w:pPr>
      <w:rPr>
        <w:rFonts w:hint="default"/>
        <w:spacing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2169494">
    <w:abstractNumId w:val="0"/>
  </w:num>
  <w:num w:numId="2" w16cid:durableId="10885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47"/>
    <w:rsid w:val="001A3558"/>
    <w:rsid w:val="007B2AFB"/>
    <w:rsid w:val="00877123"/>
    <w:rsid w:val="009207C3"/>
    <w:rsid w:val="00B754E3"/>
    <w:rsid w:val="00E23333"/>
    <w:rsid w:val="00E77419"/>
    <w:rsid w:val="00EB5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41F5"/>
  <w15:chartTrackingRefBased/>
  <w15:docId w15:val="{FE05424D-E101-0341-B20E-46D7CC21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56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56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56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56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56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56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56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6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56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56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56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56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56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56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56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5647"/>
    <w:rPr>
      <w:rFonts w:eastAsiaTheme="majorEastAsia" w:cstheme="majorBidi"/>
      <w:color w:val="272727" w:themeColor="text1" w:themeTint="D8"/>
    </w:rPr>
  </w:style>
  <w:style w:type="paragraph" w:styleId="Ttulo">
    <w:name w:val="Title"/>
    <w:basedOn w:val="Normal"/>
    <w:next w:val="Normal"/>
    <w:link w:val="TtuloCar"/>
    <w:uiPriority w:val="10"/>
    <w:qFormat/>
    <w:rsid w:val="00EB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56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56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56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5647"/>
    <w:pPr>
      <w:spacing w:before="160"/>
      <w:jc w:val="center"/>
    </w:pPr>
    <w:rPr>
      <w:i/>
      <w:iCs/>
      <w:color w:val="404040" w:themeColor="text1" w:themeTint="BF"/>
    </w:rPr>
  </w:style>
  <w:style w:type="character" w:customStyle="1" w:styleId="CitaCar">
    <w:name w:val="Cita Car"/>
    <w:basedOn w:val="Fuentedeprrafopredeter"/>
    <w:link w:val="Cita"/>
    <w:uiPriority w:val="29"/>
    <w:rsid w:val="00EB5647"/>
    <w:rPr>
      <w:i/>
      <w:iCs/>
      <w:color w:val="404040" w:themeColor="text1" w:themeTint="BF"/>
    </w:rPr>
  </w:style>
  <w:style w:type="paragraph" w:styleId="Prrafodelista">
    <w:name w:val="List Paragraph"/>
    <w:basedOn w:val="Normal"/>
    <w:uiPriority w:val="34"/>
    <w:qFormat/>
    <w:rsid w:val="00EB5647"/>
    <w:pPr>
      <w:ind w:left="720"/>
      <w:contextualSpacing/>
    </w:pPr>
  </w:style>
  <w:style w:type="character" w:styleId="nfasisintenso">
    <w:name w:val="Intense Emphasis"/>
    <w:basedOn w:val="Fuentedeprrafopredeter"/>
    <w:uiPriority w:val="21"/>
    <w:qFormat/>
    <w:rsid w:val="00EB5647"/>
    <w:rPr>
      <w:i/>
      <w:iCs/>
      <w:color w:val="0F4761" w:themeColor="accent1" w:themeShade="BF"/>
    </w:rPr>
  </w:style>
  <w:style w:type="paragraph" w:styleId="Citadestacada">
    <w:name w:val="Intense Quote"/>
    <w:basedOn w:val="Normal"/>
    <w:next w:val="Normal"/>
    <w:link w:val="CitadestacadaCar"/>
    <w:uiPriority w:val="30"/>
    <w:qFormat/>
    <w:rsid w:val="00EB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5647"/>
    <w:rPr>
      <w:i/>
      <w:iCs/>
      <w:color w:val="0F4761" w:themeColor="accent1" w:themeShade="BF"/>
    </w:rPr>
  </w:style>
  <w:style w:type="character" w:styleId="Referenciaintensa">
    <w:name w:val="Intense Reference"/>
    <w:basedOn w:val="Fuentedeprrafopredeter"/>
    <w:uiPriority w:val="32"/>
    <w:qFormat/>
    <w:rsid w:val="00EB5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434</Words>
  <Characters>3108</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Omira</dc:creator>
  <cp:keywords/>
  <dc:description/>
  <cp:lastModifiedBy>Ariadna Lázaro Palacios</cp:lastModifiedBy>
  <cp:revision>2</cp:revision>
  <dcterms:created xsi:type="dcterms:W3CDTF">2025-10-21T11:43:00Z</dcterms:created>
  <dcterms:modified xsi:type="dcterms:W3CDTF">2025-10-22T10:02:00Z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b1008c7e-f1c9-4058-84e2-7eacaf89d73f</vt:lpwstr>
  </property>
</Properties>
</file>