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55BD" w14:textId="77777777" w:rsidR="005E0CD7" w:rsidRDefault="005E0CD7" w:rsidP="0091423D">
      <w:pPr>
        <w:widowControl w:val="0"/>
        <w:autoSpaceDE w:val="0"/>
        <w:autoSpaceDN w:val="0"/>
        <w:adjustRightInd w:val="0"/>
        <w:jc w:val="center"/>
        <w:rPr>
          <w:rFonts w:ascii="Times" w:hAnsi="Times"/>
          <w:b/>
          <w:bCs/>
          <w:sz w:val="28"/>
          <w:szCs w:val="28"/>
        </w:rPr>
      </w:pPr>
      <w:r w:rsidRPr="005E0CD7">
        <w:rPr>
          <w:rFonts w:ascii="Times" w:hAnsi="Times"/>
          <w:b/>
          <w:bCs/>
          <w:sz w:val="28"/>
          <w:szCs w:val="28"/>
        </w:rPr>
        <w:t xml:space="preserve">Synthetic Nanozymes for Enzyme-Like Catalysis </w:t>
      </w:r>
      <w:r w:rsidRPr="005E0CD7">
        <w:rPr>
          <w:rFonts w:ascii="Times" w:hAnsi="Times"/>
          <w:b/>
          <w:bCs/>
          <w:sz w:val="28"/>
          <w:szCs w:val="28"/>
        </w:rPr>
        <w:br/>
        <w:t>and Intracellular Prodrug Activation</w:t>
      </w:r>
    </w:p>
    <w:p w14:paraId="1DAA7D97" w14:textId="77777777" w:rsidR="009A6C67" w:rsidRDefault="009A6C67" w:rsidP="0091423D">
      <w:pPr>
        <w:widowControl w:val="0"/>
        <w:autoSpaceDE w:val="0"/>
        <w:autoSpaceDN w:val="0"/>
        <w:adjustRightInd w:val="0"/>
        <w:jc w:val="center"/>
        <w:rPr>
          <w:rFonts w:ascii="Times" w:hAnsi="Times"/>
          <w:b/>
          <w:bCs/>
          <w:sz w:val="28"/>
          <w:szCs w:val="28"/>
        </w:rPr>
      </w:pPr>
    </w:p>
    <w:p w14:paraId="6B3B107D" w14:textId="77777777" w:rsidR="00B06C82" w:rsidRPr="00D270B9" w:rsidRDefault="00B06C82" w:rsidP="00B06C82">
      <w:pPr>
        <w:jc w:val="center"/>
      </w:pPr>
      <w:r w:rsidRPr="00B06C82">
        <w:rPr>
          <w:u w:val="single"/>
        </w:rPr>
        <w:t>Rabia Zahid</w:t>
      </w:r>
      <w:r w:rsidRPr="00D270B9">
        <w:t>,</w:t>
      </w:r>
      <w:r w:rsidRPr="00D270B9">
        <w:rPr>
          <w:vertAlign w:val="superscript"/>
        </w:rPr>
        <w:t>1</w:t>
      </w:r>
      <w:r w:rsidRPr="00D270B9">
        <w:t xml:space="preserve"> </w:t>
      </w:r>
      <w:proofErr w:type="spellStart"/>
      <w:r w:rsidRPr="00D270B9">
        <w:t>Ariadna</w:t>
      </w:r>
      <w:proofErr w:type="spellEnd"/>
      <w:r w:rsidRPr="00D270B9">
        <w:t xml:space="preserve"> Lázaro,</w:t>
      </w:r>
      <w:r w:rsidRPr="00D270B9">
        <w:rPr>
          <w:vertAlign w:val="superscript"/>
        </w:rPr>
        <w:t>2</w:t>
      </w:r>
      <w:r w:rsidRPr="00D270B9">
        <w:t xml:space="preserve"> María Sancho Albero,</w:t>
      </w:r>
      <w:r w:rsidRPr="00D270B9">
        <w:rPr>
          <w:vertAlign w:val="superscript"/>
        </w:rPr>
        <w:t xml:space="preserve">3 </w:t>
      </w:r>
      <w:r w:rsidRPr="00D270B9">
        <w:t>Pierre Picchetti</w:t>
      </w:r>
      <w:r w:rsidRPr="00D270B9">
        <w:rPr>
          <w:vertAlign w:val="superscript"/>
        </w:rPr>
        <w:t>1</w:t>
      </w:r>
    </w:p>
    <w:p w14:paraId="658487C0" w14:textId="77777777" w:rsidR="0091423D" w:rsidRPr="009A6C67" w:rsidRDefault="0091423D" w:rsidP="0091423D">
      <w:pPr>
        <w:widowControl w:val="0"/>
        <w:autoSpaceDE w:val="0"/>
        <w:autoSpaceDN w:val="0"/>
        <w:adjustRightInd w:val="0"/>
        <w:jc w:val="center"/>
        <w:rPr>
          <w:lang w:val="en-US"/>
        </w:rPr>
      </w:pPr>
    </w:p>
    <w:p w14:paraId="7D33F84E" w14:textId="77777777" w:rsidR="005E0CD7" w:rsidRDefault="005E0CD7" w:rsidP="005E0CD7">
      <w:pPr>
        <w:widowControl w:val="0"/>
        <w:autoSpaceDE w:val="0"/>
        <w:autoSpaceDN w:val="0"/>
        <w:adjustRightInd w:val="0"/>
        <w:rPr>
          <w:i/>
          <w:iCs/>
          <w:sz w:val="22"/>
          <w:szCs w:val="22"/>
          <w:lang w:val="en-US"/>
        </w:rPr>
      </w:pPr>
      <w:r w:rsidRPr="005E0CD7">
        <w:rPr>
          <w:i/>
          <w:iCs/>
          <w:sz w:val="22"/>
          <w:szCs w:val="22"/>
          <w:vertAlign w:val="superscript"/>
          <w:lang w:val="en-US"/>
        </w:rPr>
        <w:t>1</w:t>
      </w:r>
      <w:r w:rsidRPr="005E0CD7">
        <w:rPr>
          <w:i/>
          <w:iCs/>
          <w:sz w:val="22"/>
          <w:szCs w:val="22"/>
          <w:lang w:val="en-US"/>
        </w:rPr>
        <w:t xml:space="preserve">Karlsruhe Institute of Technology (KIT), Institute of Nanotechnology (INT), Germany; </w:t>
      </w:r>
    </w:p>
    <w:p w14:paraId="456AACB4" w14:textId="517AB0F4" w:rsidR="005E0CD7" w:rsidRDefault="005E0CD7" w:rsidP="005E0CD7">
      <w:pPr>
        <w:widowControl w:val="0"/>
        <w:autoSpaceDE w:val="0"/>
        <w:autoSpaceDN w:val="0"/>
        <w:adjustRightInd w:val="0"/>
        <w:rPr>
          <w:i/>
          <w:iCs/>
          <w:sz w:val="22"/>
          <w:szCs w:val="22"/>
          <w:lang w:val="en-US"/>
        </w:rPr>
      </w:pPr>
      <w:r w:rsidRPr="005E0CD7">
        <w:rPr>
          <w:i/>
          <w:iCs/>
          <w:sz w:val="22"/>
          <w:szCs w:val="22"/>
          <w:vertAlign w:val="superscript"/>
          <w:lang w:val="en-US"/>
        </w:rPr>
        <w:t>2</w:t>
      </w:r>
      <w:r w:rsidRPr="005E0CD7">
        <w:rPr>
          <w:i/>
          <w:iCs/>
          <w:sz w:val="22"/>
          <w:szCs w:val="22"/>
          <w:lang w:val="en-US"/>
        </w:rPr>
        <w:t>Karlsruhe Institute of Technology, Institute of Functional Interfaces (IFG);</w:t>
      </w:r>
    </w:p>
    <w:p w14:paraId="2AD52419" w14:textId="77777777" w:rsidR="005E0CD7" w:rsidRDefault="005E0CD7" w:rsidP="005E0CD7">
      <w:pPr>
        <w:widowControl w:val="0"/>
        <w:autoSpaceDE w:val="0"/>
        <w:autoSpaceDN w:val="0"/>
        <w:adjustRightInd w:val="0"/>
        <w:rPr>
          <w:i/>
          <w:iCs/>
          <w:sz w:val="22"/>
          <w:szCs w:val="22"/>
          <w:lang w:val="es-ES"/>
        </w:rPr>
      </w:pPr>
      <w:r w:rsidRPr="005E0CD7">
        <w:rPr>
          <w:i/>
          <w:iCs/>
          <w:sz w:val="22"/>
          <w:szCs w:val="22"/>
          <w:vertAlign w:val="superscript"/>
          <w:lang w:val="en-US"/>
        </w:rPr>
        <w:t>3</w:t>
      </w:r>
      <w:r w:rsidRPr="005E0CD7">
        <w:rPr>
          <w:i/>
          <w:iCs/>
          <w:sz w:val="22"/>
          <w:szCs w:val="22"/>
          <w:lang w:val="es-ES"/>
        </w:rPr>
        <w:t xml:space="preserve">Instituto de Nanociencia y Materiales de </w:t>
      </w:r>
      <w:proofErr w:type="spellStart"/>
      <w:r w:rsidRPr="005E0CD7">
        <w:rPr>
          <w:i/>
          <w:iCs/>
          <w:sz w:val="22"/>
          <w:szCs w:val="22"/>
          <w:lang w:val="es-ES"/>
        </w:rPr>
        <w:t>Argaón</w:t>
      </w:r>
      <w:proofErr w:type="spellEnd"/>
      <w:r w:rsidRPr="005E0CD7">
        <w:rPr>
          <w:i/>
          <w:iCs/>
          <w:sz w:val="22"/>
          <w:szCs w:val="22"/>
          <w:lang w:val="es-ES"/>
        </w:rPr>
        <w:t xml:space="preserve"> (INMA), CISC-Universidad de </w:t>
      </w:r>
      <w:proofErr w:type="spellStart"/>
      <w:r w:rsidRPr="005E0CD7">
        <w:rPr>
          <w:i/>
          <w:iCs/>
          <w:sz w:val="22"/>
          <w:szCs w:val="22"/>
          <w:lang w:val="es-ES"/>
        </w:rPr>
        <w:t>Zargaoza</w:t>
      </w:r>
      <w:proofErr w:type="spellEnd"/>
    </w:p>
    <w:p w14:paraId="458C7153" w14:textId="4365936A" w:rsidR="005E0CD7" w:rsidRPr="009A6C67" w:rsidRDefault="005E0CD7" w:rsidP="005E0CD7">
      <w:pPr>
        <w:widowControl w:val="0"/>
        <w:autoSpaceDE w:val="0"/>
        <w:autoSpaceDN w:val="0"/>
        <w:adjustRightInd w:val="0"/>
        <w:rPr>
          <w:i/>
          <w:iCs/>
          <w:sz w:val="22"/>
          <w:szCs w:val="22"/>
          <w:lang w:val="en-US"/>
        </w:rPr>
      </w:pPr>
      <w:r w:rsidRPr="005E0CD7">
        <w:rPr>
          <w:i/>
          <w:iCs/>
          <w:sz w:val="22"/>
          <w:szCs w:val="22"/>
          <w:lang w:val="es-ES"/>
        </w:rPr>
        <w:t xml:space="preserve"> </w:t>
      </w:r>
    </w:p>
    <w:p w14:paraId="250B180E" w14:textId="3CC31C13" w:rsidR="0091423D" w:rsidRDefault="005E0CD7" w:rsidP="005E0CD7">
      <w:pPr>
        <w:widowControl w:val="0"/>
        <w:autoSpaceDE w:val="0"/>
        <w:autoSpaceDN w:val="0"/>
        <w:adjustRightInd w:val="0"/>
        <w:jc w:val="center"/>
        <w:rPr>
          <w:rStyle w:val="Hyperlink"/>
          <w:i/>
          <w:iCs/>
          <w:lang w:val="de-DE"/>
        </w:rPr>
      </w:pPr>
      <w:proofErr w:type="spellStart"/>
      <w:r w:rsidRPr="005E0CD7">
        <w:rPr>
          <w:i/>
          <w:iCs/>
          <w:lang w:val="de-DE"/>
        </w:rPr>
        <w:t>e-mail</w:t>
      </w:r>
      <w:proofErr w:type="spellEnd"/>
      <w:r w:rsidRPr="005E0CD7">
        <w:rPr>
          <w:i/>
          <w:iCs/>
          <w:lang w:val="de-DE"/>
        </w:rPr>
        <w:t xml:space="preserve">: </w:t>
      </w:r>
      <w:hyperlink r:id="rId7" w:history="1">
        <w:r w:rsidRPr="005E0CD7">
          <w:rPr>
            <w:rStyle w:val="Hyperlink"/>
            <w:i/>
            <w:iCs/>
            <w:lang w:val="de-DE"/>
          </w:rPr>
          <w:t>rabia.zahid@partner.kit.edu</w:t>
        </w:r>
      </w:hyperlink>
    </w:p>
    <w:p w14:paraId="0E664C72" w14:textId="77777777" w:rsidR="00B06C82" w:rsidRDefault="00B06C82" w:rsidP="005E0CD7">
      <w:pPr>
        <w:widowControl w:val="0"/>
        <w:autoSpaceDE w:val="0"/>
        <w:autoSpaceDN w:val="0"/>
        <w:adjustRightInd w:val="0"/>
        <w:jc w:val="center"/>
        <w:rPr>
          <w:rStyle w:val="Hyperlink"/>
          <w:i/>
          <w:iCs/>
          <w:lang w:val="de-DE"/>
        </w:rPr>
      </w:pPr>
    </w:p>
    <w:p w14:paraId="7F8DA82C" w14:textId="77777777" w:rsidR="000279B8" w:rsidRDefault="000279B8" w:rsidP="005E0CD7">
      <w:pPr>
        <w:widowControl w:val="0"/>
        <w:autoSpaceDE w:val="0"/>
        <w:autoSpaceDN w:val="0"/>
        <w:adjustRightInd w:val="0"/>
        <w:jc w:val="center"/>
        <w:rPr>
          <w:i/>
          <w:iCs/>
          <w:lang w:val="de-DE"/>
        </w:rPr>
      </w:pPr>
    </w:p>
    <w:p w14:paraId="070578A3" w14:textId="1957A2D8" w:rsidR="005E0CD7" w:rsidRDefault="000279B8" w:rsidP="005E0CD7">
      <w:pPr>
        <w:widowControl w:val="0"/>
        <w:autoSpaceDE w:val="0"/>
        <w:autoSpaceDN w:val="0"/>
        <w:adjustRightInd w:val="0"/>
        <w:jc w:val="center"/>
        <w:rPr>
          <w:i/>
          <w:iCs/>
          <w:lang w:val="de-DE"/>
        </w:rPr>
      </w:pPr>
      <w:r w:rsidRPr="005E0CD7">
        <w:rPr>
          <w:rFonts w:ascii="Times" w:hAnsi="Times"/>
          <w:noProof/>
          <w:sz w:val="22"/>
          <w:szCs w:val="22"/>
          <w:vertAlign w:val="superscript"/>
        </w:rPr>
        <w:drawing>
          <wp:inline distT="0" distB="0" distL="0" distR="0" wp14:anchorId="520EF815" wp14:editId="5AE09E49">
            <wp:extent cx="3790950" cy="1650660"/>
            <wp:effectExtent l="0" t="0" r="0" b="6985"/>
            <wp:docPr id="14" name="Picture 13">
              <a:extLst xmlns:a="http://schemas.openxmlformats.org/drawingml/2006/main">
                <a:ext uri="{FF2B5EF4-FFF2-40B4-BE49-F238E27FC236}">
                  <a16:creationId xmlns:a16="http://schemas.microsoft.com/office/drawing/2014/main" id="{C0EB531D-5AA9-9B96-E5EE-F0E7461719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0EB531D-5AA9-9B96-E5EE-F0E74617192E}"/>
                        </a:ext>
                      </a:extLst>
                    </pic:cNvPr>
                    <pic:cNvPicPr>
                      <a:picLocks noChangeAspect="1"/>
                    </pic:cNvPicPr>
                  </pic:nvPicPr>
                  <pic:blipFill>
                    <a:blip r:embed="rId8"/>
                    <a:stretch>
                      <a:fillRect/>
                    </a:stretch>
                  </pic:blipFill>
                  <pic:spPr>
                    <a:xfrm>
                      <a:off x="0" y="0"/>
                      <a:ext cx="3947927" cy="1719011"/>
                    </a:xfrm>
                    <a:prstGeom prst="rect">
                      <a:avLst/>
                    </a:prstGeom>
                  </pic:spPr>
                </pic:pic>
              </a:graphicData>
            </a:graphic>
          </wp:inline>
        </w:drawing>
      </w:r>
    </w:p>
    <w:p w14:paraId="6BA472F6" w14:textId="77777777" w:rsidR="000279B8" w:rsidRPr="005E0CD7" w:rsidRDefault="000279B8" w:rsidP="005E0CD7">
      <w:pPr>
        <w:widowControl w:val="0"/>
        <w:autoSpaceDE w:val="0"/>
        <w:autoSpaceDN w:val="0"/>
        <w:adjustRightInd w:val="0"/>
        <w:jc w:val="center"/>
        <w:rPr>
          <w:i/>
          <w:iCs/>
          <w:lang w:val="de-DE"/>
        </w:rPr>
      </w:pPr>
    </w:p>
    <w:p w14:paraId="01D86400" w14:textId="77777777" w:rsidR="000279B8" w:rsidRDefault="000279B8" w:rsidP="000279B8">
      <w:pPr>
        <w:jc w:val="both"/>
      </w:pPr>
      <w:r w:rsidRPr="00CB11D8">
        <w:t xml:space="preserve">The design of enzyme-mimicking nanoparticles using supramolecular chemistry offers strong potential for improving biochemical sensing and catalysis [1]. We present a new type of ultrasmall </w:t>
      </w:r>
      <w:proofErr w:type="spellStart"/>
      <w:r w:rsidRPr="00CB11D8">
        <w:t>organosilica</w:t>
      </w:r>
      <w:proofErr w:type="spellEnd"/>
      <w:r w:rsidRPr="00CB11D8">
        <w:t xml:space="preserve"> nanoparticle (</w:t>
      </w:r>
      <w:r w:rsidRPr="00CB11D8">
        <w:rPr>
          <w:rFonts w:ascii="Cambria Math" w:hAnsi="Cambria Math" w:cs="Cambria Math"/>
        </w:rPr>
        <w:t>∼</w:t>
      </w:r>
      <w:r w:rsidRPr="00CB11D8">
        <w:t xml:space="preserve">2 nm) functionalized with surface groups that engage in host–guest interactions, especially with macrocycles like </w:t>
      </w:r>
      <w:proofErr w:type="gramStart"/>
      <w:r w:rsidRPr="00CB11D8">
        <w:t>cucurbit[</w:t>
      </w:r>
      <w:proofErr w:type="gramEnd"/>
      <w:r w:rsidRPr="00CB11D8">
        <w:t>7]</w:t>
      </w:r>
      <w:proofErr w:type="spellStart"/>
      <w:r w:rsidRPr="00CB11D8">
        <w:t>uril</w:t>
      </w:r>
      <w:proofErr w:type="spellEnd"/>
      <w:r w:rsidRPr="00CB11D8">
        <w:t xml:space="preserve"> (CB7) [2]. These nanoparticles include cavities that selectively bind analytes. When an analyte is introduced,</w:t>
      </w:r>
      <w:r>
        <w:t xml:space="preserve"> </w:t>
      </w:r>
      <w:r w:rsidRPr="00CB11D8">
        <w:t xml:space="preserve">it displaces the macrocycles, causing measurable changes in nanoparticle aggregation and catalytic </w:t>
      </w:r>
      <w:proofErr w:type="spellStart"/>
      <w:r w:rsidRPr="00CB11D8">
        <w:t>behavior</w:t>
      </w:r>
      <w:proofErr w:type="spellEnd"/>
      <w:r w:rsidRPr="00CB11D8">
        <w:t xml:space="preserve">. This interaction supports both sensitive detection and enzyme-like catalytic activity, mimicking the dynamic response of natural enzymes. Our system relies on the host–guest interaction between CB7 and the nanoparticle to recognize analytes such as drugs or bioamines. The analyte-induced aggregation changes are easily monitored through light scattering. Moreover, CB7 displacement activates the catalytic sites on the nanoparticles. These </w:t>
      </w:r>
      <w:proofErr w:type="spellStart"/>
      <w:r w:rsidRPr="00CB11D8">
        <w:t>organosilica</w:t>
      </w:r>
      <w:proofErr w:type="spellEnd"/>
      <w:r w:rsidRPr="00CB11D8">
        <w:t xml:space="preserve"> materials demonstrate potential in host–guest chemistry due to their chemical responsiveness. Combining simple, low-cost components with precise molecular design provides new opportunities for creating functional nanomaterials.</w:t>
      </w:r>
    </w:p>
    <w:p w14:paraId="6D0F59A9" w14:textId="39817B22" w:rsidR="0091423D" w:rsidRPr="00BF553D" w:rsidRDefault="0091423D" w:rsidP="005E0CD7">
      <w:pPr>
        <w:widowControl w:val="0"/>
        <w:autoSpaceDE w:val="0"/>
        <w:autoSpaceDN w:val="0"/>
        <w:adjustRightInd w:val="0"/>
        <w:spacing w:line="312" w:lineRule="auto"/>
        <w:jc w:val="center"/>
        <w:rPr>
          <w:sz w:val="22"/>
          <w:szCs w:val="22"/>
          <w:lang w:val="en-US"/>
        </w:rPr>
      </w:pPr>
    </w:p>
    <w:p w14:paraId="7712EF2D" w14:textId="77777777" w:rsidR="0091423D" w:rsidRDefault="0091423D" w:rsidP="0091423D">
      <w:pPr>
        <w:widowControl w:val="0"/>
        <w:autoSpaceDE w:val="0"/>
        <w:autoSpaceDN w:val="0"/>
        <w:adjustRightInd w:val="0"/>
        <w:spacing w:line="312" w:lineRule="auto"/>
        <w:rPr>
          <w:rFonts w:ascii="Times" w:hAnsi="Times"/>
          <w:color w:val="000000" w:themeColor="text1"/>
          <w:sz w:val="22"/>
          <w:szCs w:val="22"/>
          <w:lang w:val="fr-FR"/>
        </w:rPr>
      </w:pPr>
    </w:p>
    <w:p w14:paraId="2C6E79B9" w14:textId="77777777" w:rsidR="0091423D" w:rsidRDefault="0091423D" w:rsidP="0091423D">
      <w:pPr>
        <w:widowControl w:val="0"/>
        <w:autoSpaceDE w:val="0"/>
        <w:autoSpaceDN w:val="0"/>
        <w:adjustRightInd w:val="0"/>
        <w:spacing w:line="312" w:lineRule="auto"/>
        <w:rPr>
          <w:b/>
          <w:sz w:val="20"/>
          <w:szCs w:val="20"/>
          <w:lang w:val="fr-FR"/>
        </w:rPr>
      </w:pPr>
      <w:proofErr w:type="spellStart"/>
      <w:r w:rsidRPr="00A441E6">
        <w:rPr>
          <w:b/>
          <w:sz w:val="20"/>
          <w:szCs w:val="20"/>
          <w:lang w:val="fr-FR"/>
        </w:rPr>
        <w:t>References</w:t>
      </w:r>
      <w:proofErr w:type="spellEnd"/>
    </w:p>
    <w:p w14:paraId="2B5582D4" w14:textId="75C2FD9E" w:rsidR="005E0CD7" w:rsidRPr="005E0CD7" w:rsidRDefault="005E0CD7" w:rsidP="005E0CD7">
      <w:pPr>
        <w:rPr>
          <w:bCs/>
          <w:sz w:val="20"/>
          <w:szCs w:val="20"/>
          <w:lang w:val="de-DE"/>
        </w:rPr>
      </w:pPr>
      <w:r w:rsidRPr="00C728C8">
        <w:rPr>
          <w:rFonts w:ascii="Times" w:hAnsi="Times"/>
          <w:color w:val="000000" w:themeColor="text1"/>
          <w:sz w:val="20"/>
          <w:szCs w:val="20"/>
          <w:lang w:val="es-PA"/>
        </w:rPr>
        <w:t xml:space="preserve">[1] </w:t>
      </w:r>
      <w:r w:rsidRPr="005E0CD7">
        <w:rPr>
          <w:bCs/>
          <w:sz w:val="20"/>
          <w:szCs w:val="20"/>
          <w:lang w:val="en-US"/>
        </w:rPr>
        <w:t xml:space="preserve">a. X. Ji et al., </w:t>
      </w:r>
      <w:r w:rsidRPr="005E0CD7">
        <w:rPr>
          <w:bCs/>
          <w:i/>
          <w:iCs/>
          <w:sz w:val="20"/>
          <w:szCs w:val="20"/>
          <w:lang w:val="en-US"/>
        </w:rPr>
        <w:t xml:space="preserve">Adv. </w:t>
      </w:r>
      <w:r w:rsidRPr="005E0CD7">
        <w:rPr>
          <w:bCs/>
          <w:i/>
          <w:iCs/>
          <w:sz w:val="20"/>
          <w:szCs w:val="20"/>
          <w:lang w:val="de-DE"/>
        </w:rPr>
        <w:t xml:space="preserve">Mater. </w:t>
      </w:r>
      <w:r w:rsidRPr="005E0CD7">
        <w:rPr>
          <w:b/>
          <w:bCs/>
          <w:sz w:val="20"/>
          <w:szCs w:val="20"/>
          <w:lang w:val="de-DE"/>
        </w:rPr>
        <w:t>2022</w:t>
      </w:r>
      <w:r w:rsidRPr="005E0CD7">
        <w:rPr>
          <w:bCs/>
          <w:sz w:val="20"/>
          <w:szCs w:val="20"/>
          <w:lang w:val="de-DE"/>
        </w:rPr>
        <w:t xml:space="preserve">, 34, 2201562; b. K. Korschelt et al., </w:t>
      </w:r>
      <w:r w:rsidRPr="005E0CD7">
        <w:rPr>
          <w:bCs/>
          <w:i/>
          <w:iCs/>
          <w:sz w:val="20"/>
          <w:szCs w:val="20"/>
          <w:lang w:val="de-DE"/>
        </w:rPr>
        <w:t xml:space="preserve">Chem. Eur. J. </w:t>
      </w:r>
      <w:r w:rsidRPr="005E0CD7">
        <w:rPr>
          <w:b/>
          <w:bCs/>
          <w:sz w:val="20"/>
          <w:szCs w:val="20"/>
          <w:lang w:val="de-DE"/>
        </w:rPr>
        <w:t>2018</w:t>
      </w:r>
      <w:r w:rsidRPr="005E0CD7">
        <w:rPr>
          <w:bCs/>
          <w:sz w:val="20"/>
          <w:szCs w:val="20"/>
          <w:lang w:val="de-DE"/>
        </w:rPr>
        <w:t xml:space="preserve">, 24, 9703–9713; </w:t>
      </w:r>
    </w:p>
    <w:p w14:paraId="0A88BEA2" w14:textId="77777777" w:rsidR="005E0CD7" w:rsidRPr="005E0CD7" w:rsidRDefault="005E0CD7" w:rsidP="005E0CD7">
      <w:pPr>
        <w:rPr>
          <w:bCs/>
          <w:sz w:val="20"/>
          <w:szCs w:val="20"/>
          <w:lang w:val="en-US"/>
        </w:rPr>
      </w:pPr>
      <w:proofErr w:type="gramStart"/>
      <w:r w:rsidRPr="005E0CD7">
        <w:rPr>
          <w:bCs/>
          <w:sz w:val="20"/>
          <w:szCs w:val="20"/>
          <w:lang w:val="en-US"/>
        </w:rPr>
        <w:t>c .</w:t>
      </w:r>
      <w:proofErr w:type="gramEnd"/>
      <w:r w:rsidRPr="005E0CD7">
        <w:rPr>
          <w:bCs/>
          <w:sz w:val="20"/>
          <w:szCs w:val="20"/>
          <w:lang w:val="en-US"/>
        </w:rPr>
        <w:t xml:space="preserve"> P. Maag et al., </w:t>
      </w:r>
      <w:r w:rsidRPr="005E0CD7">
        <w:rPr>
          <w:bCs/>
          <w:i/>
          <w:iCs/>
          <w:sz w:val="20"/>
          <w:szCs w:val="20"/>
          <w:lang w:val="en-US"/>
        </w:rPr>
        <w:t>Macromolecules</w:t>
      </w:r>
      <w:r w:rsidRPr="005E0CD7">
        <w:rPr>
          <w:bCs/>
          <w:sz w:val="20"/>
          <w:szCs w:val="20"/>
          <w:lang w:val="en-US"/>
        </w:rPr>
        <w:t xml:space="preserve">. </w:t>
      </w:r>
      <w:r w:rsidRPr="005E0CD7">
        <w:rPr>
          <w:b/>
          <w:bCs/>
          <w:sz w:val="20"/>
          <w:szCs w:val="20"/>
          <w:lang w:val="en-US"/>
        </w:rPr>
        <w:t>2022</w:t>
      </w:r>
      <w:r w:rsidRPr="005E0CD7">
        <w:rPr>
          <w:bCs/>
          <w:sz w:val="20"/>
          <w:szCs w:val="20"/>
          <w:lang w:val="en-US"/>
        </w:rPr>
        <w:t>, 55, 0024-9297</w:t>
      </w:r>
    </w:p>
    <w:p w14:paraId="3B06087F" w14:textId="25E2416E" w:rsidR="005E0CD7" w:rsidRPr="005E0CD7" w:rsidRDefault="005E0CD7" w:rsidP="005E0CD7">
      <w:pPr>
        <w:rPr>
          <w:bCs/>
          <w:sz w:val="20"/>
          <w:szCs w:val="20"/>
          <w:lang w:val="en-US"/>
        </w:rPr>
      </w:pPr>
      <w:r w:rsidRPr="007F63CF">
        <w:rPr>
          <w:rFonts w:ascii="Times" w:hAnsi="Times"/>
          <w:color w:val="000000" w:themeColor="text1"/>
          <w:sz w:val="20"/>
          <w:szCs w:val="20"/>
          <w:lang w:val="en-US"/>
        </w:rPr>
        <w:t>[</w:t>
      </w:r>
      <w:r>
        <w:rPr>
          <w:rFonts w:ascii="Times" w:hAnsi="Times"/>
          <w:color w:val="000000" w:themeColor="text1"/>
          <w:sz w:val="20"/>
          <w:szCs w:val="20"/>
          <w:lang w:val="en-US"/>
        </w:rPr>
        <w:t>2</w:t>
      </w:r>
      <w:r w:rsidRPr="007F63CF">
        <w:rPr>
          <w:rFonts w:ascii="Times" w:hAnsi="Times"/>
          <w:color w:val="000000" w:themeColor="text1"/>
          <w:sz w:val="20"/>
          <w:szCs w:val="20"/>
          <w:lang w:val="en-US"/>
        </w:rPr>
        <w:t xml:space="preserve">] </w:t>
      </w:r>
      <w:r w:rsidRPr="005E0CD7">
        <w:rPr>
          <w:bCs/>
          <w:sz w:val="20"/>
          <w:szCs w:val="20"/>
          <w:lang w:val="en-US"/>
        </w:rPr>
        <w:t xml:space="preserve">a. W. Freeman et al., </w:t>
      </w:r>
      <w:r w:rsidRPr="005E0CD7">
        <w:rPr>
          <w:bCs/>
          <w:i/>
          <w:iCs/>
          <w:sz w:val="20"/>
          <w:szCs w:val="20"/>
          <w:lang w:val="en-US"/>
        </w:rPr>
        <w:t xml:space="preserve">J. Am. Chem. Soc. </w:t>
      </w:r>
      <w:r w:rsidRPr="005E0CD7">
        <w:rPr>
          <w:b/>
          <w:bCs/>
          <w:sz w:val="20"/>
          <w:szCs w:val="20"/>
          <w:lang w:val="en-US"/>
        </w:rPr>
        <w:t>1981</w:t>
      </w:r>
      <w:r w:rsidRPr="005E0CD7">
        <w:rPr>
          <w:bCs/>
          <w:sz w:val="20"/>
          <w:szCs w:val="20"/>
          <w:lang w:val="en-US"/>
        </w:rPr>
        <w:t xml:space="preserve">, 103, 7367–7368; b. K. I. Assaf, W. Nau, </w:t>
      </w:r>
      <w:r w:rsidRPr="005E0CD7">
        <w:rPr>
          <w:bCs/>
          <w:i/>
          <w:iCs/>
          <w:sz w:val="20"/>
          <w:szCs w:val="20"/>
          <w:lang w:val="en-US"/>
        </w:rPr>
        <w:t xml:space="preserve">Chem. Soc. Rev. </w:t>
      </w:r>
      <w:r w:rsidRPr="005E0CD7">
        <w:rPr>
          <w:b/>
          <w:bCs/>
          <w:sz w:val="20"/>
          <w:szCs w:val="20"/>
          <w:lang w:val="en-US"/>
        </w:rPr>
        <w:t>2015</w:t>
      </w:r>
      <w:r w:rsidRPr="005E0CD7">
        <w:rPr>
          <w:bCs/>
          <w:sz w:val="20"/>
          <w:szCs w:val="20"/>
          <w:lang w:val="en-US"/>
        </w:rPr>
        <w:t>, 44, 394–418.</w:t>
      </w:r>
    </w:p>
    <w:p w14:paraId="06AD0B11" w14:textId="77777777" w:rsidR="005E0CD7" w:rsidRPr="0091423D" w:rsidRDefault="005E0CD7" w:rsidP="0091423D">
      <w:pPr>
        <w:rPr>
          <w:bCs/>
          <w:sz w:val="20"/>
          <w:szCs w:val="20"/>
          <w:lang w:val="nl-NL"/>
        </w:rPr>
      </w:pPr>
    </w:p>
    <w:sectPr w:rsidR="005E0CD7" w:rsidRPr="0091423D" w:rsidSect="0091423D">
      <w:headerReference w:type="default" r:id="rId9"/>
      <w:footerReference w:type="even" r:id="rId1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F634" w14:textId="77777777" w:rsidR="00805A40" w:rsidRDefault="00805A40" w:rsidP="0091423D">
      <w:r>
        <w:separator/>
      </w:r>
    </w:p>
  </w:endnote>
  <w:endnote w:type="continuationSeparator" w:id="0">
    <w:p w14:paraId="7AB2E68E" w14:textId="77777777" w:rsidR="00805A40" w:rsidRDefault="00805A40" w:rsidP="0091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DA4D" w14:textId="77777777" w:rsidR="004E5357" w:rsidRDefault="00000000" w:rsidP="0002440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01AD1E" w14:textId="77777777" w:rsidR="004E5357" w:rsidRDefault="004E5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F961" w14:textId="77777777" w:rsidR="00805A40" w:rsidRDefault="00805A40" w:rsidP="0091423D">
      <w:r>
        <w:separator/>
      </w:r>
    </w:p>
  </w:footnote>
  <w:footnote w:type="continuationSeparator" w:id="0">
    <w:p w14:paraId="09FB5A79" w14:textId="77777777" w:rsidR="00805A40" w:rsidRDefault="00805A40" w:rsidP="0091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1FB8" w14:textId="7DDBAB32" w:rsidR="004E5357" w:rsidRPr="0044665C" w:rsidRDefault="00000000">
    <w:pPr>
      <w:pStyle w:val="Header"/>
      <w:rPr>
        <w:color w:val="808080" w:themeColor="background1" w:themeShade="80"/>
        <w:lang w:val="pt-PT"/>
      </w:rPr>
    </w:pPr>
    <w:r w:rsidRPr="0044665C">
      <w:rPr>
        <w:color w:val="808080" w:themeColor="background1" w:themeShade="80"/>
        <w:lang w:val="pt-PT"/>
      </w:rPr>
      <w:tab/>
    </w:r>
  </w:p>
  <w:p w14:paraId="70ECB3E0" w14:textId="6F438F94" w:rsidR="004E5357" w:rsidRPr="00BD3FEB" w:rsidRDefault="004E5357" w:rsidP="00D7360A">
    <w:pPr>
      <w:pStyle w:val="Header"/>
      <w:jc w:val="right"/>
      <w:rPr>
        <w:color w:val="808080" w:themeColor="background1" w:themeShade="8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D50"/>
    <w:multiLevelType w:val="hybridMultilevel"/>
    <w:tmpl w:val="DC6473DA"/>
    <w:lvl w:ilvl="0" w:tplc="E4369372">
      <w:start w:val="1"/>
      <w:numFmt w:val="decimal"/>
      <w:lvlText w:val="%1."/>
      <w:lvlJc w:val="left"/>
      <w:pPr>
        <w:tabs>
          <w:tab w:val="num" w:pos="720"/>
        </w:tabs>
        <w:ind w:left="720" w:hanging="360"/>
      </w:pPr>
    </w:lvl>
    <w:lvl w:ilvl="1" w:tplc="0A76BC54" w:tentative="1">
      <w:start w:val="1"/>
      <w:numFmt w:val="decimal"/>
      <w:lvlText w:val="%2."/>
      <w:lvlJc w:val="left"/>
      <w:pPr>
        <w:tabs>
          <w:tab w:val="num" w:pos="1440"/>
        </w:tabs>
        <w:ind w:left="1440" w:hanging="360"/>
      </w:pPr>
    </w:lvl>
    <w:lvl w:ilvl="2" w:tplc="82BA8D42" w:tentative="1">
      <w:start w:val="1"/>
      <w:numFmt w:val="decimal"/>
      <w:lvlText w:val="%3."/>
      <w:lvlJc w:val="left"/>
      <w:pPr>
        <w:tabs>
          <w:tab w:val="num" w:pos="2160"/>
        </w:tabs>
        <w:ind w:left="2160" w:hanging="360"/>
      </w:pPr>
    </w:lvl>
    <w:lvl w:ilvl="3" w:tplc="A07C22CE" w:tentative="1">
      <w:start w:val="1"/>
      <w:numFmt w:val="decimal"/>
      <w:lvlText w:val="%4."/>
      <w:lvlJc w:val="left"/>
      <w:pPr>
        <w:tabs>
          <w:tab w:val="num" w:pos="2880"/>
        </w:tabs>
        <w:ind w:left="2880" w:hanging="360"/>
      </w:pPr>
    </w:lvl>
    <w:lvl w:ilvl="4" w:tplc="7E38A5C0" w:tentative="1">
      <w:start w:val="1"/>
      <w:numFmt w:val="decimal"/>
      <w:lvlText w:val="%5."/>
      <w:lvlJc w:val="left"/>
      <w:pPr>
        <w:tabs>
          <w:tab w:val="num" w:pos="3600"/>
        </w:tabs>
        <w:ind w:left="3600" w:hanging="360"/>
      </w:pPr>
    </w:lvl>
    <w:lvl w:ilvl="5" w:tplc="26EC7EC2" w:tentative="1">
      <w:start w:val="1"/>
      <w:numFmt w:val="decimal"/>
      <w:lvlText w:val="%6."/>
      <w:lvlJc w:val="left"/>
      <w:pPr>
        <w:tabs>
          <w:tab w:val="num" w:pos="4320"/>
        </w:tabs>
        <w:ind w:left="4320" w:hanging="360"/>
      </w:pPr>
    </w:lvl>
    <w:lvl w:ilvl="6" w:tplc="65F4CF02" w:tentative="1">
      <w:start w:val="1"/>
      <w:numFmt w:val="decimal"/>
      <w:lvlText w:val="%7."/>
      <w:lvlJc w:val="left"/>
      <w:pPr>
        <w:tabs>
          <w:tab w:val="num" w:pos="5040"/>
        </w:tabs>
        <w:ind w:left="5040" w:hanging="360"/>
      </w:pPr>
    </w:lvl>
    <w:lvl w:ilvl="7" w:tplc="1EC84EFE" w:tentative="1">
      <w:start w:val="1"/>
      <w:numFmt w:val="decimal"/>
      <w:lvlText w:val="%8."/>
      <w:lvlJc w:val="left"/>
      <w:pPr>
        <w:tabs>
          <w:tab w:val="num" w:pos="5760"/>
        </w:tabs>
        <w:ind w:left="5760" w:hanging="360"/>
      </w:pPr>
    </w:lvl>
    <w:lvl w:ilvl="8" w:tplc="FEB29888" w:tentative="1">
      <w:start w:val="1"/>
      <w:numFmt w:val="decimal"/>
      <w:lvlText w:val="%9."/>
      <w:lvlJc w:val="left"/>
      <w:pPr>
        <w:tabs>
          <w:tab w:val="num" w:pos="6480"/>
        </w:tabs>
        <w:ind w:left="6480" w:hanging="360"/>
      </w:pPr>
    </w:lvl>
  </w:abstractNum>
  <w:abstractNum w:abstractNumId="1" w15:restartNumberingAfterBreak="0">
    <w:nsid w:val="5A437D01"/>
    <w:multiLevelType w:val="hybridMultilevel"/>
    <w:tmpl w:val="D3285B24"/>
    <w:lvl w:ilvl="0" w:tplc="D278C768">
      <w:start w:val="1"/>
      <w:numFmt w:val="decimal"/>
      <w:lvlText w:val="%1."/>
      <w:lvlJc w:val="left"/>
      <w:pPr>
        <w:tabs>
          <w:tab w:val="num" w:pos="720"/>
        </w:tabs>
        <w:ind w:left="720" w:hanging="360"/>
      </w:pPr>
    </w:lvl>
    <w:lvl w:ilvl="1" w:tplc="56509C88" w:tentative="1">
      <w:start w:val="1"/>
      <w:numFmt w:val="decimal"/>
      <w:lvlText w:val="%2."/>
      <w:lvlJc w:val="left"/>
      <w:pPr>
        <w:tabs>
          <w:tab w:val="num" w:pos="1440"/>
        </w:tabs>
        <w:ind w:left="1440" w:hanging="360"/>
      </w:pPr>
    </w:lvl>
    <w:lvl w:ilvl="2" w:tplc="89086B4A" w:tentative="1">
      <w:start w:val="1"/>
      <w:numFmt w:val="decimal"/>
      <w:lvlText w:val="%3."/>
      <w:lvlJc w:val="left"/>
      <w:pPr>
        <w:tabs>
          <w:tab w:val="num" w:pos="2160"/>
        </w:tabs>
        <w:ind w:left="2160" w:hanging="360"/>
      </w:pPr>
    </w:lvl>
    <w:lvl w:ilvl="3" w:tplc="76EEF5C4" w:tentative="1">
      <w:start w:val="1"/>
      <w:numFmt w:val="decimal"/>
      <w:lvlText w:val="%4."/>
      <w:lvlJc w:val="left"/>
      <w:pPr>
        <w:tabs>
          <w:tab w:val="num" w:pos="2880"/>
        </w:tabs>
        <w:ind w:left="2880" w:hanging="360"/>
      </w:pPr>
    </w:lvl>
    <w:lvl w:ilvl="4" w:tplc="E4C61338" w:tentative="1">
      <w:start w:val="1"/>
      <w:numFmt w:val="decimal"/>
      <w:lvlText w:val="%5."/>
      <w:lvlJc w:val="left"/>
      <w:pPr>
        <w:tabs>
          <w:tab w:val="num" w:pos="3600"/>
        </w:tabs>
        <w:ind w:left="3600" w:hanging="360"/>
      </w:pPr>
    </w:lvl>
    <w:lvl w:ilvl="5" w:tplc="A762E420" w:tentative="1">
      <w:start w:val="1"/>
      <w:numFmt w:val="decimal"/>
      <w:lvlText w:val="%6."/>
      <w:lvlJc w:val="left"/>
      <w:pPr>
        <w:tabs>
          <w:tab w:val="num" w:pos="4320"/>
        </w:tabs>
        <w:ind w:left="4320" w:hanging="360"/>
      </w:pPr>
    </w:lvl>
    <w:lvl w:ilvl="6" w:tplc="600AB822" w:tentative="1">
      <w:start w:val="1"/>
      <w:numFmt w:val="decimal"/>
      <w:lvlText w:val="%7."/>
      <w:lvlJc w:val="left"/>
      <w:pPr>
        <w:tabs>
          <w:tab w:val="num" w:pos="5040"/>
        </w:tabs>
        <w:ind w:left="5040" w:hanging="360"/>
      </w:pPr>
    </w:lvl>
    <w:lvl w:ilvl="7" w:tplc="786660F4" w:tentative="1">
      <w:start w:val="1"/>
      <w:numFmt w:val="decimal"/>
      <w:lvlText w:val="%8."/>
      <w:lvlJc w:val="left"/>
      <w:pPr>
        <w:tabs>
          <w:tab w:val="num" w:pos="5760"/>
        </w:tabs>
        <w:ind w:left="5760" w:hanging="360"/>
      </w:pPr>
    </w:lvl>
    <w:lvl w:ilvl="8" w:tplc="0F4A0D68" w:tentative="1">
      <w:start w:val="1"/>
      <w:numFmt w:val="decimal"/>
      <w:lvlText w:val="%9."/>
      <w:lvlJc w:val="left"/>
      <w:pPr>
        <w:tabs>
          <w:tab w:val="num" w:pos="6480"/>
        </w:tabs>
        <w:ind w:left="6480" w:hanging="360"/>
      </w:pPr>
    </w:lvl>
  </w:abstractNum>
  <w:num w:numId="1" w16cid:durableId="1582444800">
    <w:abstractNumId w:val="1"/>
  </w:num>
  <w:num w:numId="2" w16cid:durableId="36387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A7"/>
    <w:rsid w:val="000279B8"/>
    <w:rsid w:val="00171DA7"/>
    <w:rsid w:val="001C7B66"/>
    <w:rsid w:val="002B7C70"/>
    <w:rsid w:val="003347E1"/>
    <w:rsid w:val="00435B48"/>
    <w:rsid w:val="004E5357"/>
    <w:rsid w:val="004E6C0E"/>
    <w:rsid w:val="005E0CD7"/>
    <w:rsid w:val="00682293"/>
    <w:rsid w:val="00805A40"/>
    <w:rsid w:val="0085133B"/>
    <w:rsid w:val="0091423D"/>
    <w:rsid w:val="009A6C67"/>
    <w:rsid w:val="009E2559"/>
    <w:rsid w:val="00B06C82"/>
    <w:rsid w:val="00B16532"/>
    <w:rsid w:val="00B96954"/>
    <w:rsid w:val="00BD0BEC"/>
    <w:rsid w:val="00BE3B31"/>
    <w:rsid w:val="00D71630"/>
    <w:rsid w:val="00FE2AB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B7E1"/>
  <w15:chartTrackingRefBased/>
  <w15:docId w15:val="{76A7677C-C658-4635-BFA8-59E9644B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3D"/>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171D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PA"/>
      <w14:ligatures w14:val="standardContextual"/>
    </w:rPr>
  </w:style>
  <w:style w:type="paragraph" w:styleId="Heading2">
    <w:name w:val="heading 2"/>
    <w:basedOn w:val="Normal"/>
    <w:next w:val="Normal"/>
    <w:link w:val="Heading2Char"/>
    <w:uiPriority w:val="9"/>
    <w:semiHidden/>
    <w:unhideWhenUsed/>
    <w:qFormat/>
    <w:rsid w:val="00171D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PA"/>
      <w14:ligatures w14:val="standardContextual"/>
    </w:rPr>
  </w:style>
  <w:style w:type="paragraph" w:styleId="Heading3">
    <w:name w:val="heading 3"/>
    <w:basedOn w:val="Normal"/>
    <w:next w:val="Normal"/>
    <w:link w:val="Heading3Char"/>
    <w:uiPriority w:val="9"/>
    <w:semiHidden/>
    <w:unhideWhenUsed/>
    <w:qFormat/>
    <w:rsid w:val="00171D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PA"/>
      <w14:ligatures w14:val="standardContextual"/>
    </w:rPr>
  </w:style>
  <w:style w:type="paragraph" w:styleId="Heading4">
    <w:name w:val="heading 4"/>
    <w:basedOn w:val="Normal"/>
    <w:next w:val="Normal"/>
    <w:link w:val="Heading4Char"/>
    <w:uiPriority w:val="9"/>
    <w:semiHidden/>
    <w:unhideWhenUsed/>
    <w:qFormat/>
    <w:rsid w:val="00171DA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PA"/>
      <w14:ligatures w14:val="standardContextual"/>
    </w:rPr>
  </w:style>
  <w:style w:type="paragraph" w:styleId="Heading5">
    <w:name w:val="heading 5"/>
    <w:basedOn w:val="Normal"/>
    <w:next w:val="Normal"/>
    <w:link w:val="Heading5Char"/>
    <w:uiPriority w:val="9"/>
    <w:semiHidden/>
    <w:unhideWhenUsed/>
    <w:qFormat/>
    <w:rsid w:val="00171DA7"/>
    <w:pPr>
      <w:keepNext/>
      <w:keepLines/>
      <w:spacing w:before="80" w:after="40" w:line="278" w:lineRule="auto"/>
      <w:outlineLvl w:val="4"/>
    </w:pPr>
    <w:rPr>
      <w:rFonts w:asciiTheme="minorHAnsi" w:eastAsiaTheme="majorEastAsia" w:hAnsiTheme="minorHAnsi" w:cstheme="majorBidi"/>
      <w:color w:val="0F4761" w:themeColor="accent1" w:themeShade="BF"/>
      <w:kern w:val="2"/>
      <w:lang w:val="es-PA"/>
      <w14:ligatures w14:val="standardContextual"/>
    </w:rPr>
  </w:style>
  <w:style w:type="paragraph" w:styleId="Heading6">
    <w:name w:val="heading 6"/>
    <w:basedOn w:val="Normal"/>
    <w:next w:val="Normal"/>
    <w:link w:val="Heading6Char"/>
    <w:uiPriority w:val="9"/>
    <w:semiHidden/>
    <w:unhideWhenUsed/>
    <w:qFormat/>
    <w:rsid w:val="00171DA7"/>
    <w:pPr>
      <w:keepNext/>
      <w:keepLines/>
      <w:spacing w:before="40" w:line="278" w:lineRule="auto"/>
      <w:outlineLvl w:val="5"/>
    </w:pPr>
    <w:rPr>
      <w:rFonts w:asciiTheme="minorHAnsi" w:eastAsiaTheme="majorEastAsia" w:hAnsiTheme="minorHAnsi" w:cstheme="majorBidi"/>
      <w:i/>
      <w:iCs/>
      <w:color w:val="595959" w:themeColor="text1" w:themeTint="A6"/>
      <w:kern w:val="2"/>
      <w:lang w:val="es-PA"/>
      <w14:ligatures w14:val="standardContextual"/>
    </w:rPr>
  </w:style>
  <w:style w:type="paragraph" w:styleId="Heading7">
    <w:name w:val="heading 7"/>
    <w:basedOn w:val="Normal"/>
    <w:next w:val="Normal"/>
    <w:link w:val="Heading7Char"/>
    <w:uiPriority w:val="9"/>
    <w:semiHidden/>
    <w:unhideWhenUsed/>
    <w:qFormat/>
    <w:rsid w:val="00171DA7"/>
    <w:pPr>
      <w:keepNext/>
      <w:keepLines/>
      <w:spacing w:before="40" w:line="278" w:lineRule="auto"/>
      <w:outlineLvl w:val="6"/>
    </w:pPr>
    <w:rPr>
      <w:rFonts w:asciiTheme="minorHAnsi" w:eastAsiaTheme="majorEastAsia" w:hAnsiTheme="minorHAnsi" w:cstheme="majorBidi"/>
      <w:color w:val="595959" w:themeColor="text1" w:themeTint="A6"/>
      <w:kern w:val="2"/>
      <w:lang w:val="es-PA"/>
      <w14:ligatures w14:val="standardContextual"/>
    </w:rPr>
  </w:style>
  <w:style w:type="paragraph" w:styleId="Heading8">
    <w:name w:val="heading 8"/>
    <w:basedOn w:val="Normal"/>
    <w:next w:val="Normal"/>
    <w:link w:val="Heading8Char"/>
    <w:uiPriority w:val="9"/>
    <w:semiHidden/>
    <w:unhideWhenUsed/>
    <w:qFormat/>
    <w:rsid w:val="00171DA7"/>
    <w:pPr>
      <w:keepNext/>
      <w:keepLines/>
      <w:spacing w:line="278" w:lineRule="auto"/>
      <w:outlineLvl w:val="7"/>
    </w:pPr>
    <w:rPr>
      <w:rFonts w:asciiTheme="minorHAnsi" w:eastAsiaTheme="majorEastAsia" w:hAnsiTheme="minorHAnsi" w:cstheme="majorBidi"/>
      <w:i/>
      <w:iCs/>
      <w:color w:val="272727" w:themeColor="text1" w:themeTint="D8"/>
      <w:kern w:val="2"/>
      <w:lang w:val="es-PA"/>
      <w14:ligatures w14:val="standardContextual"/>
    </w:rPr>
  </w:style>
  <w:style w:type="paragraph" w:styleId="Heading9">
    <w:name w:val="heading 9"/>
    <w:basedOn w:val="Normal"/>
    <w:next w:val="Normal"/>
    <w:link w:val="Heading9Char"/>
    <w:uiPriority w:val="9"/>
    <w:semiHidden/>
    <w:unhideWhenUsed/>
    <w:qFormat/>
    <w:rsid w:val="00171DA7"/>
    <w:pPr>
      <w:keepNext/>
      <w:keepLines/>
      <w:spacing w:line="278" w:lineRule="auto"/>
      <w:outlineLvl w:val="8"/>
    </w:pPr>
    <w:rPr>
      <w:rFonts w:asciiTheme="minorHAnsi" w:eastAsiaTheme="majorEastAsia" w:hAnsiTheme="minorHAnsi" w:cstheme="majorBidi"/>
      <w:color w:val="272727" w:themeColor="text1" w:themeTint="D8"/>
      <w:kern w:val="2"/>
      <w:lang w:val="es-P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DA7"/>
    <w:rPr>
      <w:rFonts w:eastAsiaTheme="majorEastAsia" w:cstheme="majorBidi"/>
      <w:color w:val="272727" w:themeColor="text1" w:themeTint="D8"/>
    </w:rPr>
  </w:style>
  <w:style w:type="paragraph" w:styleId="Title">
    <w:name w:val="Title"/>
    <w:basedOn w:val="Normal"/>
    <w:next w:val="Normal"/>
    <w:link w:val="TitleChar"/>
    <w:uiPriority w:val="10"/>
    <w:qFormat/>
    <w:rsid w:val="00171DA7"/>
    <w:pPr>
      <w:spacing w:after="80"/>
      <w:contextualSpacing/>
    </w:pPr>
    <w:rPr>
      <w:rFonts w:asciiTheme="majorHAnsi" w:eastAsiaTheme="majorEastAsia" w:hAnsiTheme="majorHAnsi" w:cstheme="majorBidi"/>
      <w:spacing w:val="-10"/>
      <w:kern w:val="28"/>
      <w:sz w:val="56"/>
      <w:szCs w:val="56"/>
      <w:lang w:val="es-PA"/>
      <w14:ligatures w14:val="standardContextual"/>
    </w:rPr>
  </w:style>
  <w:style w:type="character" w:customStyle="1" w:styleId="TitleChar">
    <w:name w:val="Title Char"/>
    <w:basedOn w:val="DefaultParagraphFont"/>
    <w:link w:val="Title"/>
    <w:uiPriority w:val="10"/>
    <w:rsid w:val="00171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D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PA"/>
      <w14:ligatures w14:val="standardContextual"/>
    </w:rPr>
  </w:style>
  <w:style w:type="character" w:customStyle="1" w:styleId="SubtitleChar">
    <w:name w:val="Subtitle Char"/>
    <w:basedOn w:val="DefaultParagraphFont"/>
    <w:link w:val="Subtitle"/>
    <w:uiPriority w:val="11"/>
    <w:rsid w:val="00171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DA7"/>
    <w:pPr>
      <w:spacing w:before="160" w:after="160" w:line="278" w:lineRule="auto"/>
      <w:jc w:val="center"/>
    </w:pPr>
    <w:rPr>
      <w:rFonts w:asciiTheme="minorHAnsi" w:eastAsiaTheme="minorHAnsi" w:hAnsiTheme="minorHAnsi" w:cstheme="minorBidi"/>
      <w:i/>
      <w:iCs/>
      <w:color w:val="404040" w:themeColor="text1" w:themeTint="BF"/>
      <w:kern w:val="2"/>
      <w:lang w:val="es-PA"/>
      <w14:ligatures w14:val="standardContextual"/>
    </w:rPr>
  </w:style>
  <w:style w:type="character" w:customStyle="1" w:styleId="QuoteChar">
    <w:name w:val="Quote Char"/>
    <w:basedOn w:val="DefaultParagraphFont"/>
    <w:link w:val="Quote"/>
    <w:uiPriority w:val="29"/>
    <w:rsid w:val="00171DA7"/>
    <w:rPr>
      <w:i/>
      <w:iCs/>
      <w:color w:val="404040" w:themeColor="text1" w:themeTint="BF"/>
    </w:rPr>
  </w:style>
  <w:style w:type="paragraph" w:styleId="ListParagraph">
    <w:name w:val="List Paragraph"/>
    <w:basedOn w:val="Normal"/>
    <w:uiPriority w:val="34"/>
    <w:qFormat/>
    <w:rsid w:val="00171DA7"/>
    <w:pPr>
      <w:spacing w:after="160" w:line="278" w:lineRule="auto"/>
      <w:ind w:left="720"/>
      <w:contextualSpacing/>
    </w:pPr>
    <w:rPr>
      <w:rFonts w:asciiTheme="minorHAnsi" w:eastAsiaTheme="minorHAnsi" w:hAnsiTheme="minorHAnsi" w:cstheme="minorBidi"/>
      <w:kern w:val="2"/>
      <w:lang w:val="es-PA"/>
      <w14:ligatures w14:val="standardContextual"/>
    </w:rPr>
  </w:style>
  <w:style w:type="character" w:styleId="IntenseEmphasis">
    <w:name w:val="Intense Emphasis"/>
    <w:basedOn w:val="DefaultParagraphFont"/>
    <w:uiPriority w:val="21"/>
    <w:qFormat/>
    <w:rsid w:val="00171DA7"/>
    <w:rPr>
      <w:i/>
      <w:iCs/>
      <w:color w:val="0F4761" w:themeColor="accent1" w:themeShade="BF"/>
    </w:rPr>
  </w:style>
  <w:style w:type="paragraph" w:styleId="IntenseQuote">
    <w:name w:val="Intense Quote"/>
    <w:basedOn w:val="Normal"/>
    <w:next w:val="Normal"/>
    <w:link w:val="IntenseQuoteChar"/>
    <w:uiPriority w:val="30"/>
    <w:qFormat/>
    <w:rsid w:val="00171D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PA"/>
      <w14:ligatures w14:val="standardContextual"/>
    </w:rPr>
  </w:style>
  <w:style w:type="character" w:customStyle="1" w:styleId="IntenseQuoteChar">
    <w:name w:val="Intense Quote Char"/>
    <w:basedOn w:val="DefaultParagraphFont"/>
    <w:link w:val="IntenseQuote"/>
    <w:uiPriority w:val="30"/>
    <w:rsid w:val="00171DA7"/>
    <w:rPr>
      <w:i/>
      <w:iCs/>
      <w:color w:val="0F4761" w:themeColor="accent1" w:themeShade="BF"/>
    </w:rPr>
  </w:style>
  <w:style w:type="character" w:styleId="IntenseReference">
    <w:name w:val="Intense Reference"/>
    <w:basedOn w:val="DefaultParagraphFont"/>
    <w:uiPriority w:val="32"/>
    <w:qFormat/>
    <w:rsid w:val="00171DA7"/>
    <w:rPr>
      <w:b/>
      <w:bCs/>
      <w:smallCaps/>
      <w:color w:val="0F4761" w:themeColor="accent1" w:themeShade="BF"/>
      <w:spacing w:val="5"/>
    </w:rPr>
  </w:style>
  <w:style w:type="paragraph" w:styleId="Header">
    <w:name w:val="header"/>
    <w:basedOn w:val="Normal"/>
    <w:link w:val="HeaderChar"/>
    <w:uiPriority w:val="99"/>
    <w:unhideWhenUsed/>
    <w:rsid w:val="0091423D"/>
    <w:pPr>
      <w:tabs>
        <w:tab w:val="center" w:pos="4513"/>
        <w:tab w:val="right" w:pos="9026"/>
      </w:tabs>
    </w:pPr>
  </w:style>
  <w:style w:type="character" w:customStyle="1" w:styleId="HeaderChar">
    <w:name w:val="Header Char"/>
    <w:basedOn w:val="DefaultParagraphFont"/>
    <w:link w:val="Header"/>
    <w:uiPriority w:val="99"/>
    <w:rsid w:val="0091423D"/>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91423D"/>
    <w:pPr>
      <w:tabs>
        <w:tab w:val="center" w:pos="4513"/>
        <w:tab w:val="right" w:pos="9026"/>
      </w:tabs>
    </w:pPr>
  </w:style>
  <w:style w:type="character" w:customStyle="1" w:styleId="FooterChar">
    <w:name w:val="Footer Char"/>
    <w:basedOn w:val="DefaultParagraphFont"/>
    <w:link w:val="Footer"/>
    <w:uiPriority w:val="99"/>
    <w:rsid w:val="0091423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91423D"/>
  </w:style>
  <w:style w:type="character" w:styleId="Hyperlink">
    <w:name w:val="Hyperlink"/>
    <w:basedOn w:val="DefaultParagraphFont"/>
    <w:uiPriority w:val="99"/>
    <w:unhideWhenUsed/>
    <w:rsid w:val="005E0CD7"/>
    <w:rPr>
      <w:color w:val="467886" w:themeColor="hyperlink"/>
      <w:u w:val="single"/>
    </w:rPr>
  </w:style>
  <w:style w:type="character" w:styleId="UnresolvedMention">
    <w:name w:val="Unresolved Mention"/>
    <w:basedOn w:val="DefaultParagraphFont"/>
    <w:uiPriority w:val="99"/>
    <w:semiHidden/>
    <w:unhideWhenUsed/>
    <w:rsid w:val="005E0CD7"/>
    <w:rPr>
      <w:color w:val="605E5C"/>
      <w:shd w:val="clear" w:color="auto" w:fill="E1DFDD"/>
    </w:rPr>
  </w:style>
  <w:style w:type="paragraph" w:customStyle="1" w:styleId="P1">
    <w:name w:val="P1"/>
    <w:basedOn w:val="Normal"/>
    <w:qFormat/>
    <w:rsid w:val="005E0CD7"/>
    <w:pPr>
      <w:spacing w:line="225" w:lineRule="exact"/>
      <w:jc w:val="both"/>
    </w:pPr>
    <w:rPr>
      <w:rFonts w:ascii="Arial" w:eastAsia="MS Mincho" w:hAnsi="Arial"/>
      <w:sz w:val="17"/>
      <w:lang w:val="en-US" w:eastAsia="ja-JP"/>
    </w:rPr>
  </w:style>
  <w:style w:type="character" w:styleId="Strong">
    <w:name w:val="Strong"/>
    <w:basedOn w:val="DefaultParagraphFont"/>
    <w:uiPriority w:val="22"/>
    <w:qFormat/>
    <w:rsid w:val="009A6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abia.zahid@partner.ki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1750</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Anyie Priscilla Atencio</dc:creator>
  <cp:keywords/>
  <dc:description/>
  <cp:lastModifiedBy>Rabia Zahid</cp:lastModifiedBy>
  <cp:revision>4</cp:revision>
  <cp:lastPrinted>2024-07-02T10:56:00Z</cp:lastPrinted>
  <dcterms:created xsi:type="dcterms:W3CDTF">2025-10-20T10:29:00Z</dcterms:created>
  <dcterms:modified xsi:type="dcterms:W3CDTF">2025-10-22T09:12:00Z</dcterms:modified>
</cp:coreProperties>
</file>